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58" w:rsidRDefault="00114658" w:rsidP="00114658">
      <w:pPr>
        <w:ind w:hanging="22"/>
        <w:jc w:val="center"/>
        <w:rPr>
          <w:b/>
          <w:sz w:val="28"/>
          <w:szCs w:val="28"/>
          <w:u w:val="single"/>
        </w:rPr>
      </w:pPr>
      <w:bookmarkStart w:id="0" w:name="_GoBack"/>
      <w:bookmarkEnd w:id="0"/>
      <w:r w:rsidRPr="009526DF">
        <w:rPr>
          <w:noProof/>
          <w:lang w:eastAsia="en-GB"/>
        </w:rPr>
        <w:drawing>
          <wp:inline distT="0" distB="0" distL="0" distR="0">
            <wp:extent cx="983207" cy="495300"/>
            <wp:effectExtent l="0" t="0" r="762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123" cy="500799"/>
                    </a:xfrm>
                    <a:prstGeom prst="rect">
                      <a:avLst/>
                    </a:prstGeom>
                    <a:noFill/>
                    <a:ln>
                      <a:noFill/>
                    </a:ln>
                  </pic:spPr>
                </pic:pic>
              </a:graphicData>
            </a:graphic>
          </wp:inline>
        </w:drawing>
      </w:r>
    </w:p>
    <w:p w:rsidR="007D2334" w:rsidRDefault="007D2334" w:rsidP="00114658">
      <w:pPr>
        <w:ind w:hanging="22"/>
        <w:jc w:val="center"/>
        <w:rPr>
          <w:b/>
          <w:sz w:val="28"/>
          <w:szCs w:val="28"/>
          <w:u w:val="single"/>
        </w:rPr>
      </w:pPr>
      <w:r w:rsidRPr="003C5DAD">
        <w:rPr>
          <w:b/>
          <w:sz w:val="28"/>
          <w:szCs w:val="28"/>
          <w:u w:val="single"/>
        </w:rPr>
        <w:t>Treasur</w:t>
      </w:r>
      <w:r>
        <w:rPr>
          <w:b/>
          <w:sz w:val="28"/>
          <w:szCs w:val="28"/>
          <w:u w:val="single"/>
        </w:rPr>
        <w:t xml:space="preserve">er Report Year </w:t>
      </w:r>
      <w:r w:rsidR="007F2391">
        <w:rPr>
          <w:b/>
          <w:sz w:val="28"/>
          <w:szCs w:val="28"/>
          <w:u w:val="single"/>
        </w:rPr>
        <w:t>E</w:t>
      </w:r>
      <w:r>
        <w:rPr>
          <w:b/>
          <w:sz w:val="28"/>
          <w:szCs w:val="28"/>
          <w:u w:val="single"/>
        </w:rPr>
        <w:t>nd December 20</w:t>
      </w:r>
      <w:r w:rsidR="007F2391">
        <w:rPr>
          <w:b/>
          <w:sz w:val="28"/>
          <w:szCs w:val="28"/>
          <w:u w:val="single"/>
        </w:rPr>
        <w:t>2</w:t>
      </w:r>
      <w:r w:rsidR="00CB1819">
        <w:rPr>
          <w:b/>
          <w:sz w:val="28"/>
          <w:szCs w:val="28"/>
          <w:u w:val="single"/>
        </w:rPr>
        <w:t>1</w:t>
      </w:r>
    </w:p>
    <w:p w:rsidR="00A162F4" w:rsidRPr="007F2391" w:rsidRDefault="007D2334" w:rsidP="00CB1819">
      <w:pPr>
        <w:jc w:val="center"/>
        <w:rPr>
          <w:sz w:val="24"/>
          <w:szCs w:val="24"/>
        </w:rPr>
      </w:pPr>
      <w:r w:rsidRPr="007F2391">
        <w:rPr>
          <w:b/>
          <w:sz w:val="24"/>
          <w:szCs w:val="24"/>
        </w:rPr>
        <w:t>Current Account Balance</w:t>
      </w:r>
      <w:r w:rsidRPr="007F2391">
        <w:rPr>
          <w:sz w:val="24"/>
          <w:szCs w:val="24"/>
        </w:rPr>
        <w:t xml:space="preserve"> as of </w:t>
      </w:r>
      <w:r w:rsidR="00CB1819" w:rsidRPr="007F2391">
        <w:rPr>
          <w:sz w:val="24"/>
          <w:szCs w:val="24"/>
        </w:rPr>
        <w:t>07</w:t>
      </w:r>
      <w:r w:rsidRPr="007F2391">
        <w:rPr>
          <w:sz w:val="24"/>
          <w:szCs w:val="24"/>
        </w:rPr>
        <w:t>/12/20</w:t>
      </w:r>
      <w:r w:rsidR="00CB1819" w:rsidRPr="007F2391">
        <w:rPr>
          <w:sz w:val="24"/>
          <w:szCs w:val="24"/>
        </w:rPr>
        <w:t xml:space="preserve">21: </w:t>
      </w:r>
      <w:r w:rsidR="00291AEB">
        <w:rPr>
          <w:sz w:val="24"/>
          <w:szCs w:val="24"/>
        </w:rPr>
        <w:t>£199,713.23</w:t>
      </w:r>
    </w:p>
    <w:tbl>
      <w:tblPr>
        <w:tblStyle w:val="TableGrid"/>
        <w:tblpPr w:leftFromText="180" w:rightFromText="180" w:vertAnchor="page" w:horzAnchor="margin" w:tblpY="2971"/>
        <w:tblW w:w="10172" w:type="dxa"/>
        <w:tblLook w:val="04A0" w:firstRow="1" w:lastRow="0" w:firstColumn="1" w:lastColumn="0" w:noHBand="0" w:noVBand="1"/>
      </w:tblPr>
      <w:tblGrid>
        <w:gridCol w:w="7308"/>
        <w:gridCol w:w="1432"/>
        <w:gridCol w:w="1432"/>
      </w:tblGrid>
      <w:tr w:rsidR="00CB1819" w:rsidRPr="007D2334" w:rsidTr="00114658">
        <w:tc>
          <w:tcPr>
            <w:tcW w:w="7308" w:type="dxa"/>
            <w:shd w:val="clear" w:color="auto" w:fill="FFFF00"/>
          </w:tcPr>
          <w:p w:rsidR="00CB1819" w:rsidRPr="00CB1819" w:rsidRDefault="00CB1819" w:rsidP="00114658">
            <w:pPr>
              <w:rPr>
                <w:b/>
                <w:sz w:val="24"/>
                <w:szCs w:val="24"/>
                <w:highlight w:val="yellow"/>
              </w:rPr>
            </w:pPr>
            <w:r w:rsidRPr="00CB1819">
              <w:rPr>
                <w:b/>
                <w:sz w:val="24"/>
                <w:szCs w:val="24"/>
                <w:highlight w:val="yellow"/>
              </w:rPr>
              <w:t>Income</w:t>
            </w:r>
          </w:p>
        </w:tc>
        <w:tc>
          <w:tcPr>
            <w:tcW w:w="1432" w:type="dxa"/>
            <w:shd w:val="clear" w:color="auto" w:fill="FFFF00"/>
          </w:tcPr>
          <w:p w:rsidR="00CB1819" w:rsidRPr="00CB1819" w:rsidRDefault="00CB1819" w:rsidP="00114658">
            <w:pPr>
              <w:jc w:val="center"/>
              <w:rPr>
                <w:sz w:val="24"/>
                <w:szCs w:val="24"/>
                <w:highlight w:val="yellow"/>
              </w:rPr>
            </w:pPr>
            <w:r w:rsidRPr="00CB1819">
              <w:rPr>
                <w:sz w:val="24"/>
                <w:szCs w:val="24"/>
                <w:highlight w:val="yellow"/>
              </w:rPr>
              <w:t>2021</w:t>
            </w:r>
          </w:p>
        </w:tc>
        <w:tc>
          <w:tcPr>
            <w:tcW w:w="1432" w:type="dxa"/>
            <w:shd w:val="clear" w:color="auto" w:fill="FFFF00"/>
          </w:tcPr>
          <w:p w:rsidR="00CB1819" w:rsidRPr="00CB1819" w:rsidRDefault="00CB1819" w:rsidP="00114658">
            <w:pPr>
              <w:jc w:val="center"/>
              <w:rPr>
                <w:sz w:val="24"/>
                <w:szCs w:val="24"/>
                <w:highlight w:val="yellow"/>
              </w:rPr>
            </w:pPr>
            <w:r w:rsidRPr="00CB1819">
              <w:rPr>
                <w:sz w:val="24"/>
                <w:szCs w:val="24"/>
                <w:highlight w:val="yellow"/>
              </w:rPr>
              <w:t>2020</w:t>
            </w:r>
          </w:p>
        </w:tc>
      </w:tr>
      <w:tr w:rsidR="00CB1819" w:rsidTr="00114658">
        <w:tc>
          <w:tcPr>
            <w:tcW w:w="7308" w:type="dxa"/>
          </w:tcPr>
          <w:p w:rsidR="00CB1819" w:rsidRPr="00CB1819" w:rsidRDefault="00CB1819" w:rsidP="00114658">
            <w:pPr>
              <w:rPr>
                <w:sz w:val="24"/>
                <w:szCs w:val="24"/>
              </w:rPr>
            </w:pPr>
            <w:r w:rsidRPr="00CB1819">
              <w:rPr>
                <w:sz w:val="24"/>
                <w:szCs w:val="24"/>
              </w:rPr>
              <w:t>Branch Funding</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w:t>
            </w:r>
            <w:r w:rsidR="00A71BE8">
              <w:rPr>
                <w:rFonts w:eastAsia="Times New Roman"/>
                <w:color w:val="000000"/>
                <w:sz w:val="24"/>
                <w:szCs w:val="24"/>
                <w:lang w:eastAsia="en-GB"/>
              </w:rPr>
              <w:t>137,</w:t>
            </w:r>
            <w:r>
              <w:rPr>
                <w:rFonts w:eastAsia="Times New Roman"/>
                <w:color w:val="000000"/>
                <w:sz w:val="24"/>
                <w:szCs w:val="24"/>
                <w:lang w:eastAsia="en-GB"/>
              </w:rPr>
              <w:t>417</w:t>
            </w:r>
            <w:r w:rsidR="00A71BE8">
              <w:rPr>
                <w:rFonts w:eastAsia="Times New Roman"/>
                <w:color w:val="000000"/>
                <w:sz w:val="24"/>
                <w:szCs w:val="24"/>
                <w:lang w:eastAsia="en-GB"/>
              </w:rPr>
              <w:t>.</w:t>
            </w:r>
            <w:r>
              <w:rPr>
                <w:rFonts w:eastAsia="Times New Roman"/>
                <w:color w:val="000000"/>
                <w:sz w:val="24"/>
                <w:szCs w:val="24"/>
                <w:lang w:eastAsia="en-GB"/>
              </w:rPr>
              <w:t>10</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£164,043.17</w:t>
            </w:r>
          </w:p>
        </w:tc>
      </w:tr>
      <w:tr w:rsidR="00CB1819" w:rsidTr="00114658">
        <w:tc>
          <w:tcPr>
            <w:tcW w:w="7308" w:type="dxa"/>
            <w:shd w:val="clear" w:color="auto" w:fill="FFFF00"/>
            <w:vAlign w:val="bottom"/>
          </w:tcPr>
          <w:p w:rsidR="00CB1819" w:rsidRPr="00CB1819" w:rsidRDefault="00CB1819" w:rsidP="00114658">
            <w:pPr>
              <w:rPr>
                <w:rFonts w:eastAsia="Times New Roman"/>
                <w:b/>
                <w:color w:val="000000"/>
                <w:sz w:val="24"/>
                <w:szCs w:val="24"/>
                <w:lang w:eastAsia="en-GB"/>
              </w:rPr>
            </w:pPr>
            <w:r w:rsidRPr="00CB1819">
              <w:rPr>
                <w:rFonts w:eastAsia="Times New Roman"/>
                <w:b/>
                <w:color w:val="000000"/>
                <w:sz w:val="24"/>
                <w:szCs w:val="24"/>
                <w:lang w:eastAsia="en-GB"/>
              </w:rPr>
              <w:t>Expenditure</w:t>
            </w:r>
          </w:p>
        </w:tc>
        <w:tc>
          <w:tcPr>
            <w:tcW w:w="1432" w:type="dxa"/>
            <w:shd w:val="clear" w:color="auto" w:fill="FFFF00"/>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 </w:t>
            </w:r>
          </w:p>
        </w:tc>
        <w:tc>
          <w:tcPr>
            <w:tcW w:w="1432" w:type="dxa"/>
            <w:shd w:val="clear" w:color="auto" w:fill="FFFF00"/>
            <w:vAlign w:val="bottom"/>
          </w:tcPr>
          <w:p w:rsidR="00CB1819" w:rsidRPr="00CB1819" w:rsidRDefault="00CB1819" w:rsidP="00114658">
            <w:pPr>
              <w:rPr>
                <w:rFonts w:eastAsia="Times New Roman"/>
                <w:color w:val="000000"/>
                <w:sz w:val="24"/>
                <w:szCs w:val="24"/>
                <w:lang w:eastAsia="en-GB"/>
              </w:rPr>
            </w:pP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Staff Salaries</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£106,206.63</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£55,140.32</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Other administration</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£17,700.66</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£18,801.76</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Honoraria</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£4870.00</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£4,450.00</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Conferences and group meetings</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£887.04</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£12,894.87</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Other Meetings</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£1208.24</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£1317.54</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Publicity</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£2550.60</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£5,266.91</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Education</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£120.00</w:t>
            </w:r>
          </w:p>
        </w:tc>
        <w:tc>
          <w:tcPr>
            <w:tcW w:w="1432" w:type="dxa"/>
            <w:vAlign w:val="bottom"/>
          </w:tcPr>
          <w:p w:rsidR="00CB1819" w:rsidRPr="00CB1819" w:rsidRDefault="00240212" w:rsidP="00114658">
            <w:pPr>
              <w:jc w:val="right"/>
              <w:rPr>
                <w:rFonts w:eastAsia="Times New Roman"/>
                <w:color w:val="000000"/>
                <w:sz w:val="24"/>
                <w:szCs w:val="24"/>
                <w:lang w:eastAsia="en-GB"/>
              </w:rPr>
            </w:pPr>
            <w:r>
              <w:rPr>
                <w:rFonts w:eastAsia="Times New Roman"/>
                <w:color w:val="000000"/>
                <w:sz w:val="24"/>
                <w:szCs w:val="24"/>
                <w:lang w:eastAsia="en-GB"/>
              </w:rPr>
              <w:t>£</w:t>
            </w:r>
            <w:r w:rsidR="00946CBF">
              <w:rPr>
                <w:rFonts w:eastAsia="Times New Roman"/>
                <w:color w:val="000000"/>
                <w:sz w:val="24"/>
                <w:szCs w:val="24"/>
                <w:lang w:eastAsia="en-GB"/>
              </w:rPr>
              <w:t>1596.00</w:t>
            </w:r>
          </w:p>
        </w:tc>
      </w:tr>
      <w:tr w:rsidR="00CB1819" w:rsidTr="00114658">
        <w:tc>
          <w:tcPr>
            <w:tcW w:w="7308" w:type="dxa"/>
            <w:vAlign w:val="bottom"/>
          </w:tcPr>
          <w:p w:rsidR="00CB1819" w:rsidRPr="00CB1819" w:rsidRDefault="00CB1819" w:rsidP="00114658">
            <w:pPr>
              <w:rPr>
                <w:rFonts w:eastAsia="Times New Roman"/>
                <w:color w:val="000000"/>
                <w:sz w:val="24"/>
                <w:szCs w:val="24"/>
                <w:lang w:eastAsia="en-GB"/>
              </w:rPr>
            </w:pPr>
            <w:r w:rsidRPr="00CB1819">
              <w:rPr>
                <w:rFonts w:eastAsia="Times New Roman"/>
                <w:color w:val="000000"/>
                <w:sz w:val="24"/>
                <w:szCs w:val="24"/>
                <w:lang w:eastAsia="en-GB"/>
              </w:rPr>
              <w:t>Donations</w:t>
            </w:r>
          </w:p>
        </w:tc>
        <w:tc>
          <w:tcPr>
            <w:tcW w:w="1432" w:type="dxa"/>
            <w:vAlign w:val="bottom"/>
          </w:tcPr>
          <w:p w:rsidR="00CB1819" w:rsidRPr="00CB1819" w:rsidRDefault="00946CBF" w:rsidP="00114658">
            <w:pPr>
              <w:jc w:val="right"/>
              <w:rPr>
                <w:rFonts w:eastAsia="Times New Roman"/>
                <w:color w:val="000000"/>
                <w:sz w:val="24"/>
                <w:szCs w:val="24"/>
                <w:lang w:eastAsia="en-GB"/>
              </w:rPr>
            </w:pPr>
            <w:r>
              <w:rPr>
                <w:rFonts w:eastAsia="Times New Roman"/>
                <w:color w:val="000000"/>
                <w:sz w:val="24"/>
                <w:szCs w:val="24"/>
                <w:lang w:eastAsia="en-GB"/>
              </w:rPr>
              <w:t>£8009.95</w:t>
            </w:r>
          </w:p>
        </w:tc>
        <w:tc>
          <w:tcPr>
            <w:tcW w:w="1432" w:type="dxa"/>
            <w:vAlign w:val="bottom"/>
          </w:tcPr>
          <w:p w:rsidR="00CB1819" w:rsidRPr="00CB1819" w:rsidRDefault="00946CBF" w:rsidP="00114658">
            <w:pPr>
              <w:jc w:val="right"/>
              <w:rPr>
                <w:rFonts w:eastAsia="Times New Roman"/>
                <w:color w:val="000000"/>
                <w:sz w:val="24"/>
                <w:szCs w:val="24"/>
                <w:lang w:eastAsia="en-GB"/>
              </w:rPr>
            </w:pPr>
            <w:r>
              <w:rPr>
                <w:rFonts w:eastAsia="Times New Roman"/>
                <w:color w:val="000000"/>
                <w:sz w:val="24"/>
                <w:szCs w:val="24"/>
                <w:lang w:eastAsia="en-GB"/>
              </w:rPr>
              <w:t>£12,990.00</w:t>
            </w:r>
          </w:p>
        </w:tc>
      </w:tr>
    </w:tbl>
    <w:p w:rsidR="00025E66" w:rsidRPr="00CB1819" w:rsidRDefault="00114658" w:rsidP="007D2334">
      <w:pPr>
        <w:rPr>
          <w:b/>
          <w:sz w:val="24"/>
          <w:szCs w:val="24"/>
          <w:u w:val="single"/>
        </w:rPr>
      </w:pPr>
      <w:r>
        <w:rPr>
          <w:b/>
          <w:sz w:val="24"/>
          <w:szCs w:val="24"/>
          <w:u w:val="single"/>
        </w:rPr>
        <w:br/>
      </w:r>
      <w:r w:rsidR="00025E66" w:rsidRPr="00CB1819">
        <w:rPr>
          <w:b/>
          <w:sz w:val="24"/>
          <w:szCs w:val="24"/>
          <w:u w:val="single"/>
        </w:rPr>
        <w:t xml:space="preserve">Top 3 </w:t>
      </w:r>
      <w:r w:rsidR="00CB1819" w:rsidRPr="00CB1819">
        <w:rPr>
          <w:b/>
          <w:sz w:val="24"/>
          <w:szCs w:val="24"/>
          <w:u w:val="single"/>
        </w:rPr>
        <w:t>E</w:t>
      </w:r>
      <w:r w:rsidR="00025E66" w:rsidRPr="00CB1819">
        <w:rPr>
          <w:b/>
          <w:sz w:val="24"/>
          <w:szCs w:val="24"/>
          <w:u w:val="single"/>
        </w:rPr>
        <w:t>xpenditures</w:t>
      </w:r>
    </w:p>
    <w:p w:rsidR="00025E66" w:rsidRPr="00DE45AF" w:rsidRDefault="00DE45AF" w:rsidP="00CB1819">
      <w:pPr>
        <w:jc w:val="both"/>
        <w:rPr>
          <w:b/>
          <w:sz w:val="24"/>
          <w:szCs w:val="24"/>
        </w:rPr>
      </w:pPr>
      <w:r>
        <w:rPr>
          <w:b/>
          <w:sz w:val="24"/>
          <w:szCs w:val="24"/>
        </w:rPr>
        <w:t>Staff Salaries</w:t>
      </w:r>
      <w:r w:rsidRPr="00DE45AF">
        <w:rPr>
          <w:sz w:val="24"/>
          <w:szCs w:val="24"/>
        </w:rPr>
        <w:t xml:space="preserve"> –</w:t>
      </w:r>
      <w:r w:rsidR="00025E66" w:rsidRPr="00CB1819">
        <w:rPr>
          <w:sz w:val="24"/>
          <w:szCs w:val="24"/>
        </w:rPr>
        <w:t xml:space="preserve"> </w:t>
      </w:r>
      <w:r w:rsidR="00CB1819" w:rsidRPr="00CB1819">
        <w:rPr>
          <w:sz w:val="24"/>
          <w:szCs w:val="24"/>
        </w:rPr>
        <w:t xml:space="preserve">We currently have three admin staff in the C&amp;V UNSION Branch (Jonathan Bennett, Nicola Hobbs and Geraldine Lissenberg). We were not being recharged by C&amp;VUHB for Geraldine </w:t>
      </w:r>
      <w:r w:rsidR="00240212">
        <w:rPr>
          <w:sz w:val="24"/>
          <w:szCs w:val="24"/>
        </w:rPr>
        <w:t>since her commencement in post 2018</w:t>
      </w:r>
      <w:r w:rsidR="00CB1819" w:rsidRPr="00CB1819">
        <w:rPr>
          <w:sz w:val="24"/>
          <w:szCs w:val="24"/>
        </w:rPr>
        <w:t xml:space="preserve">, so </w:t>
      </w:r>
      <w:r w:rsidR="00240212">
        <w:rPr>
          <w:sz w:val="24"/>
          <w:szCs w:val="24"/>
        </w:rPr>
        <w:t xml:space="preserve">this year we have had a </w:t>
      </w:r>
      <w:r w:rsidR="00CB1819" w:rsidRPr="00CB1819">
        <w:rPr>
          <w:sz w:val="24"/>
          <w:szCs w:val="24"/>
        </w:rPr>
        <w:t>significant bill for her</w:t>
      </w:r>
      <w:r w:rsidR="00240212">
        <w:rPr>
          <w:sz w:val="24"/>
          <w:szCs w:val="24"/>
        </w:rPr>
        <w:t xml:space="preserve"> </w:t>
      </w:r>
      <w:r>
        <w:rPr>
          <w:sz w:val="24"/>
          <w:szCs w:val="24"/>
        </w:rPr>
        <w:t xml:space="preserve">years of </w:t>
      </w:r>
      <w:r w:rsidR="00CB1819" w:rsidRPr="00CB1819">
        <w:rPr>
          <w:sz w:val="24"/>
          <w:szCs w:val="24"/>
        </w:rPr>
        <w:t>employment. We have also employed a case handler, Sandra Perkes, but are yet to be billed for her employment so that post has not factored into this year’s expenditure.</w:t>
      </w:r>
    </w:p>
    <w:p w:rsidR="00DE45AF" w:rsidRPr="00CB1819" w:rsidRDefault="00DE45AF" w:rsidP="00CB1819">
      <w:pPr>
        <w:jc w:val="both"/>
        <w:rPr>
          <w:sz w:val="24"/>
          <w:szCs w:val="24"/>
        </w:rPr>
      </w:pPr>
      <w:r w:rsidRPr="00DE45AF">
        <w:rPr>
          <w:b/>
          <w:sz w:val="24"/>
          <w:szCs w:val="24"/>
        </w:rPr>
        <w:lastRenderedPageBreak/>
        <w:t>Other Administration</w:t>
      </w:r>
      <w:r>
        <w:rPr>
          <w:sz w:val="24"/>
          <w:szCs w:val="24"/>
        </w:rPr>
        <w:t xml:space="preserve"> – With the majority of our team working from home due to the COVID-19 pandemic, we have spent more money on IT equipment for the home working environment.</w:t>
      </w:r>
    </w:p>
    <w:p w:rsidR="00DE45AF" w:rsidRDefault="00025E66" w:rsidP="00CB1819">
      <w:pPr>
        <w:jc w:val="both"/>
        <w:rPr>
          <w:sz w:val="24"/>
          <w:szCs w:val="24"/>
        </w:rPr>
      </w:pPr>
      <w:r w:rsidRPr="00CB1819">
        <w:rPr>
          <w:b/>
          <w:sz w:val="24"/>
          <w:szCs w:val="24"/>
        </w:rPr>
        <w:t>Donations</w:t>
      </w:r>
      <w:r w:rsidR="00DE45AF" w:rsidRPr="00DE45AF">
        <w:rPr>
          <w:sz w:val="24"/>
          <w:szCs w:val="24"/>
        </w:rPr>
        <w:t xml:space="preserve"> –</w:t>
      </w:r>
      <w:r w:rsidR="00DE45AF">
        <w:rPr>
          <w:sz w:val="24"/>
          <w:szCs w:val="24"/>
        </w:rPr>
        <w:t xml:space="preserve"> We have had less donation requests from last year but have still bee</w:t>
      </w:r>
      <w:r w:rsidR="006439BC">
        <w:rPr>
          <w:sz w:val="24"/>
          <w:szCs w:val="24"/>
        </w:rPr>
        <w:t>n</w:t>
      </w:r>
      <w:r w:rsidR="00DE45AF">
        <w:rPr>
          <w:sz w:val="24"/>
          <w:szCs w:val="24"/>
        </w:rPr>
        <w:t xml:space="preserve"> generous with our contrib</w:t>
      </w:r>
      <w:r w:rsidR="006439BC">
        <w:rPr>
          <w:sz w:val="24"/>
          <w:szCs w:val="24"/>
        </w:rPr>
        <w:t>utions and welcome further requests in 2022.</w:t>
      </w:r>
    </w:p>
    <w:p w:rsidR="006439BC" w:rsidRPr="006439BC" w:rsidRDefault="006439BC" w:rsidP="00CB1819">
      <w:pPr>
        <w:jc w:val="both"/>
        <w:rPr>
          <w:sz w:val="24"/>
          <w:szCs w:val="24"/>
        </w:rPr>
      </w:pPr>
      <w:r w:rsidRPr="006439BC">
        <w:rPr>
          <w:sz w:val="24"/>
          <w:szCs w:val="24"/>
        </w:rPr>
        <w:t>There has been overall less activity due to the COVID-19 pandemic and this has seen a general decrease in expenditure across the p</w:t>
      </w:r>
      <w:r w:rsidR="00FC381A">
        <w:rPr>
          <w:sz w:val="24"/>
          <w:szCs w:val="24"/>
        </w:rPr>
        <w:t>i</w:t>
      </w:r>
      <w:r w:rsidRPr="006439BC">
        <w:rPr>
          <w:sz w:val="24"/>
          <w:szCs w:val="24"/>
        </w:rPr>
        <w:t>ste in comparison to last year, particularly in areas such as Conferences (due to virtual conferencing or cancellations</w:t>
      </w:r>
      <w:r w:rsidR="006B7C24">
        <w:rPr>
          <w:sz w:val="24"/>
          <w:szCs w:val="24"/>
        </w:rPr>
        <w:t>)</w:t>
      </w:r>
      <w:r w:rsidRPr="006439BC">
        <w:rPr>
          <w:sz w:val="24"/>
          <w:szCs w:val="24"/>
        </w:rPr>
        <w:t xml:space="preserve"> and Education (significant decrease in courses running).</w:t>
      </w:r>
    </w:p>
    <w:p w:rsidR="00025E66" w:rsidRPr="00CB1819" w:rsidRDefault="00CE13CB" w:rsidP="00CB1819">
      <w:pPr>
        <w:jc w:val="both"/>
        <w:rPr>
          <w:sz w:val="24"/>
          <w:szCs w:val="24"/>
        </w:rPr>
      </w:pPr>
      <w:r w:rsidRPr="00CB1819">
        <w:rPr>
          <w:sz w:val="24"/>
          <w:szCs w:val="24"/>
        </w:rPr>
        <w:t xml:space="preserve">The </w:t>
      </w:r>
      <w:r w:rsidR="00CB1819" w:rsidRPr="00CB1819">
        <w:rPr>
          <w:sz w:val="24"/>
          <w:szCs w:val="24"/>
        </w:rPr>
        <w:t>T</w:t>
      </w:r>
      <w:r w:rsidR="006C5C20" w:rsidRPr="00CB1819">
        <w:rPr>
          <w:sz w:val="24"/>
          <w:szCs w:val="24"/>
        </w:rPr>
        <w:t>reasurer</w:t>
      </w:r>
      <w:r w:rsidR="00CB1819" w:rsidRPr="00CB1819">
        <w:rPr>
          <w:sz w:val="24"/>
          <w:szCs w:val="24"/>
        </w:rPr>
        <w:t xml:space="preserve"> team have</w:t>
      </w:r>
      <w:r w:rsidRPr="00CB1819">
        <w:rPr>
          <w:sz w:val="24"/>
          <w:szCs w:val="24"/>
        </w:rPr>
        <w:t xml:space="preserve"> ensured that this year</w:t>
      </w:r>
      <w:r w:rsidR="00CB1819" w:rsidRPr="00CB1819">
        <w:rPr>
          <w:sz w:val="24"/>
          <w:szCs w:val="24"/>
        </w:rPr>
        <w:t xml:space="preserve">’s </w:t>
      </w:r>
      <w:r w:rsidRPr="00CB1819">
        <w:rPr>
          <w:sz w:val="24"/>
          <w:szCs w:val="24"/>
        </w:rPr>
        <w:t xml:space="preserve">accounts are up to date and on the online accounting system on OLBA. </w:t>
      </w:r>
    </w:p>
    <w:p w:rsidR="00CB1819" w:rsidRPr="00CB1819" w:rsidRDefault="00CB1819" w:rsidP="00CB1819">
      <w:pPr>
        <w:jc w:val="both"/>
        <w:rPr>
          <w:sz w:val="24"/>
          <w:szCs w:val="24"/>
        </w:rPr>
      </w:pPr>
      <w:r w:rsidRPr="00CB1819">
        <w:rPr>
          <w:sz w:val="24"/>
          <w:szCs w:val="24"/>
        </w:rPr>
        <w:t xml:space="preserve">The Treasurer team are committed to attending as many BCM and Branch officer meetings as possible over 2022, but in our absence any queries, concerns or comments can be sent to us as follows: </w:t>
      </w:r>
    </w:p>
    <w:p w:rsidR="00CE13CB" w:rsidRPr="00CB1819" w:rsidRDefault="00CB1819" w:rsidP="00CB1819">
      <w:pPr>
        <w:jc w:val="both"/>
        <w:rPr>
          <w:sz w:val="24"/>
          <w:szCs w:val="24"/>
        </w:rPr>
      </w:pPr>
      <w:r w:rsidRPr="00CB1819">
        <w:rPr>
          <w:sz w:val="24"/>
          <w:szCs w:val="24"/>
        </w:rPr>
        <w:t xml:space="preserve">Roisin: </w:t>
      </w:r>
      <w:hyperlink r:id="rId8" w:history="1">
        <w:r w:rsidR="00EE303D" w:rsidRPr="00ED72BA">
          <w:rPr>
            <w:rStyle w:val="Hyperlink"/>
            <w:rFonts w:asciiTheme="minorHAnsi" w:hAnsiTheme="minorHAnsi" w:cstheme="minorBidi"/>
            <w:sz w:val="24"/>
            <w:szCs w:val="24"/>
          </w:rPr>
          <w:t>Roisin.Kirby@wales.nhs.uk</w:t>
        </w:r>
      </w:hyperlink>
      <w:r w:rsidR="00114658">
        <w:rPr>
          <w:sz w:val="24"/>
          <w:szCs w:val="24"/>
        </w:rPr>
        <w:t xml:space="preserve"> / </w:t>
      </w:r>
      <w:r w:rsidRPr="00CB1819">
        <w:rPr>
          <w:sz w:val="24"/>
          <w:szCs w:val="24"/>
        </w:rPr>
        <w:t>Rachel:</w:t>
      </w:r>
      <w:r w:rsidR="00CE13CB" w:rsidRPr="00CB1819">
        <w:rPr>
          <w:sz w:val="24"/>
          <w:szCs w:val="24"/>
        </w:rPr>
        <w:t xml:space="preserve"> </w:t>
      </w:r>
      <w:hyperlink r:id="rId9" w:history="1">
        <w:r w:rsidR="00CE13CB" w:rsidRPr="00CB1819">
          <w:rPr>
            <w:rStyle w:val="Hyperlink"/>
            <w:rFonts w:asciiTheme="minorHAnsi" w:hAnsiTheme="minorHAnsi" w:cstheme="minorHAnsi"/>
            <w:sz w:val="24"/>
            <w:szCs w:val="24"/>
          </w:rPr>
          <w:t>Unisoncardiffandvale@hotmail.co.uk</w:t>
        </w:r>
      </w:hyperlink>
      <w:r w:rsidR="00CE13CB" w:rsidRPr="00CB1819">
        <w:rPr>
          <w:sz w:val="24"/>
          <w:szCs w:val="24"/>
        </w:rPr>
        <w:t xml:space="preserve"> </w:t>
      </w:r>
    </w:p>
    <w:p w:rsidR="00CE13CB" w:rsidRPr="00CB1819" w:rsidRDefault="00CE13CB" w:rsidP="00CE13CB">
      <w:pPr>
        <w:rPr>
          <w:sz w:val="24"/>
          <w:szCs w:val="24"/>
        </w:rPr>
      </w:pPr>
      <w:r w:rsidRPr="00CB1819">
        <w:rPr>
          <w:sz w:val="24"/>
          <w:szCs w:val="24"/>
        </w:rPr>
        <w:t>Thank</w:t>
      </w:r>
      <w:r w:rsidR="00CB1819" w:rsidRPr="00CB1819">
        <w:rPr>
          <w:sz w:val="24"/>
          <w:szCs w:val="24"/>
        </w:rPr>
        <w:t xml:space="preserve"> you</w:t>
      </w:r>
    </w:p>
    <w:p w:rsidR="00CE13CB" w:rsidRPr="00CB1819" w:rsidRDefault="00CE13CB" w:rsidP="00CE13CB">
      <w:pPr>
        <w:rPr>
          <w:b/>
          <w:sz w:val="24"/>
          <w:szCs w:val="24"/>
        </w:rPr>
      </w:pPr>
      <w:r w:rsidRPr="00CB1819">
        <w:rPr>
          <w:b/>
          <w:sz w:val="24"/>
          <w:szCs w:val="24"/>
        </w:rPr>
        <w:lastRenderedPageBreak/>
        <w:t>Roisin Kirby</w:t>
      </w:r>
      <w:r w:rsidR="00CB1819" w:rsidRPr="00CB1819">
        <w:rPr>
          <w:b/>
          <w:sz w:val="24"/>
          <w:szCs w:val="24"/>
        </w:rPr>
        <w:t>, Treasurer</w:t>
      </w:r>
    </w:p>
    <w:p w:rsidR="00CE13CB" w:rsidRPr="00CB1819" w:rsidRDefault="00CB1819" w:rsidP="007D2334">
      <w:pPr>
        <w:rPr>
          <w:b/>
          <w:sz w:val="24"/>
          <w:szCs w:val="24"/>
        </w:rPr>
      </w:pPr>
      <w:r w:rsidRPr="00CB1819">
        <w:rPr>
          <w:b/>
          <w:sz w:val="24"/>
          <w:szCs w:val="24"/>
        </w:rPr>
        <w:t>Rachel Lloyd-Jones, Assistant Treasurer</w:t>
      </w:r>
    </w:p>
    <w:sectPr w:rsidR="00CE13CB" w:rsidRPr="00CB1819" w:rsidSect="00643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93" w:rsidRDefault="00822E93" w:rsidP="007D2334">
      <w:pPr>
        <w:spacing w:after="0" w:line="240" w:lineRule="auto"/>
      </w:pPr>
      <w:r>
        <w:separator/>
      </w:r>
    </w:p>
  </w:endnote>
  <w:endnote w:type="continuationSeparator" w:id="0">
    <w:p w:rsidR="00822E93" w:rsidRDefault="00822E93" w:rsidP="007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93" w:rsidRDefault="00822E93" w:rsidP="007D2334">
      <w:pPr>
        <w:spacing w:after="0" w:line="240" w:lineRule="auto"/>
      </w:pPr>
      <w:r>
        <w:separator/>
      </w:r>
    </w:p>
  </w:footnote>
  <w:footnote w:type="continuationSeparator" w:id="0">
    <w:p w:rsidR="00822E93" w:rsidRDefault="00822E93" w:rsidP="007D2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4"/>
    <w:rsid w:val="00013713"/>
    <w:rsid w:val="00025E66"/>
    <w:rsid w:val="00114658"/>
    <w:rsid w:val="00166B1A"/>
    <w:rsid w:val="001E260B"/>
    <w:rsid w:val="00240212"/>
    <w:rsid w:val="00291AEB"/>
    <w:rsid w:val="006439BC"/>
    <w:rsid w:val="006B7C24"/>
    <w:rsid w:val="006C5C20"/>
    <w:rsid w:val="00701B57"/>
    <w:rsid w:val="007D2334"/>
    <w:rsid w:val="007F2391"/>
    <w:rsid w:val="00822E93"/>
    <w:rsid w:val="00946CBF"/>
    <w:rsid w:val="009B091B"/>
    <w:rsid w:val="00A162F4"/>
    <w:rsid w:val="00A21201"/>
    <w:rsid w:val="00A71BE8"/>
    <w:rsid w:val="00B70ABF"/>
    <w:rsid w:val="00CB1819"/>
    <w:rsid w:val="00CE13CB"/>
    <w:rsid w:val="00DE45AF"/>
    <w:rsid w:val="00E74133"/>
    <w:rsid w:val="00EE303D"/>
    <w:rsid w:val="00FC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30658-41E1-46A6-AE10-9E0BBDD1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34"/>
  </w:style>
  <w:style w:type="paragraph" w:styleId="Footer">
    <w:name w:val="footer"/>
    <w:basedOn w:val="Normal"/>
    <w:link w:val="FooterChar"/>
    <w:uiPriority w:val="99"/>
    <w:unhideWhenUsed/>
    <w:rsid w:val="007D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34"/>
  </w:style>
  <w:style w:type="character" w:styleId="Hyperlink">
    <w:name w:val="Hyperlink"/>
    <w:basedOn w:val="DefaultParagraphFont"/>
    <w:uiPriority w:val="99"/>
    <w:unhideWhenUsed/>
    <w:rsid w:val="00CE13CB"/>
    <w:rPr>
      <w:rFonts w:ascii="Times New Roman" w:hAnsi="Times New Roman" w:cs="Times New Roman" w:hint="default"/>
      <w:color w:val="0000FF"/>
      <w:u w:val="single"/>
    </w:rPr>
  </w:style>
  <w:style w:type="character" w:customStyle="1" w:styleId="UnresolvedMention">
    <w:name w:val="Unresolved Mention"/>
    <w:basedOn w:val="DefaultParagraphFont"/>
    <w:uiPriority w:val="99"/>
    <w:semiHidden/>
    <w:unhideWhenUsed/>
    <w:rsid w:val="00CB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sin.Kirby@wales.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soncardiffandval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6725-70FC-440F-9811-94A82F3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Nicola Hobbs (Cardiff and Vale UHB - Unison)</cp:lastModifiedBy>
  <cp:revision>2</cp:revision>
  <dcterms:created xsi:type="dcterms:W3CDTF">2021-12-07T12:43:00Z</dcterms:created>
  <dcterms:modified xsi:type="dcterms:W3CDTF">2021-12-07T12:43:00Z</dcterms:modified>
</cp:coreProperties>
</file>